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EA" w:rsidRPr="00816BF5" w:rsidRDefault="00A5673E" w:rsidP="00A5673E">
      <w:pPr>
        <w:jc w:val="center"/>
        <w:rPr>
          <w:rStyle w:val="Strong"/>
          <w:rFonts w:cstheme="minorHAnsi"/>
          <w:bCs w:val="0"/>
          <w:color w:val="212529"/>
          <w:sz w:val="20"/>
          <w:szCs w:val="20"/>
          <w:shd w:val="clear" w:color="auto" w:fill="FFFFFF"/>
        </w:rPr>
      </w:pPr>
      <w:r w:rsidRPr="00816BF5">
        <w:rPr>
          <w:rStyle w:val="Strong"/>
          <w:rFonts w:cstheme="minorHAnsi"/>
          <w:bCs w:val="0"/>
          <w:color w:val="212529"/>
          <w:sz w:val="20"/>
          <w:szCs w:val="20"/>
          <w:shd w:val="clear" w:color="auto" w:fill="FFFFFF"/>
        </w:rPr>
        <w:t>CERTIFICATE COURSE IN ETHICS IN BANKING</w:t>
      </w:r>
    </w:p>
    <w:p w:rsidR="00816BF5" w:rsidRPr="00816BF5" w:rsidRDefault="00816BF5" w:rsidP="00816BF5">
      <w:pPr>
        <w:pStyle w:val="head"/>
        <w:jc w:val="both"/>
        <w:rPr>
          <w:rFonts w:asciiTheme="minorHAnsi" w:hAnsiTheme="minorHAnsi" w:cstheme="minorHAnsi"/>
          <w:b/>
          <w:bCs/>
          <w:color w:val="000000"/>
          <w:sz w:val="20"/>
          <w:szCs w:val="20"/>
        </w:rPr>
      </w:pPr>
      <w:r w:rsidRPr="00816BF5">
        <w:rPr>
          <w:rFonts w:asciiTheme="minorHAnsi" w:hAnsiTheme="minorHAnsi" w:cstheme="minorHAnsi"/>
          <w:b/>
          <w:bCs/>
          <w:color w:val="000000"/>
          <w:sz w:val="20"/>
          <w:szCs w:val="20"/>
          <w:u w:val="single"/>
        </w:rPr>
        <w:t>Fair Practices Code for Lenders – Charging of Interest</w:t>
      </w:r>
    </w:p>
    <w:p w:rsidR="00816BF5" w:rsidRPr="00816BF5" w:rsidRDefault="00816BF5" w:rsidP="00816BF5">
      <w:pPr>
        <w:pStyle w:val="NoSpacing"/>
        <w:rPr>
          <w:rFonts w:cstheme="minorHAnsi"/>
          <w:sz w:val="20"/>
          <w:szCs w:val="20"/>
        </w:rPr>
      </w:pPr>
      <w:r w:rsidRPr="00816BF5">
        <w:rPr>
          <w:rFonts w:cstheme="minorHAnsi"/>
          <w:sz w:val="20"/>
          <w:szCs w:val="20"/>
        </w:rPr>
        <w:t>RBI/2024-25/30</w:t>
      </w:r>
      <w:r w:rsidRPr="00816BF5">
        <w:rPr>
          <w:rFonts w:cstheme="minorHAnsi"/>
          <w:sz w:val="20"/>
          <w:szCs w:val="20"/>
        </w:rPr>
        <w:br/>
        <w:t>DoS.CO.PPG.SEC.1/11.01.005/2024-25</w:t>
      </w:r>
    </w:p>
    <w:p w:rsidR="00816BF5" w:rsidRPr="00816BF5" w:rsidRDefault="00816BF5" w:rsidP="00816BF5">
      <w:pPr>
        <w:pStyle w:val="NoSpacing"/>
        <w:jc w:val="right"/>
        <w:rPr>
          <w:rFonts w:cstheme="minorHAnsi"/>
          <w:sz w:val="20"/>
          <w:szCs w:val="20"/>
        </w:rPr>
      </w:pPr>
      <w:r w:rsidRPr="00816BF5">
        <w:rPr>
          <w:rFonts w:cstheme="minorHAnsi"/>
          <w:sz w:val="20"/>
          <w:szCs w:val="20"/>
        </w:rPr>
        <w:t>April 29, 2024</w:t>
      </w:r>
    </w:p>
    <w:p w:rsidR="00816BF5" w:rsidRPr="00816BF5" w:rsidRDefault="00816BF5" w:rsidP="00816BF5">
      <w:pPr>
        <w:pStyle w:val="NormalWeb"/>
        <w:rPr>
          <w:rFonts w:asciiTheme="minorHAnsi" w:hAnsiTheme="minorHAnsi" w:cstheme="minorHAnsi"/>
          <w:color w:val="000000"/>
          <w:sz w:val="20"/>
          <w:szCs w:val="20"/>
        </w:rPr>
      </w:pPr>
      <w:r w:rsidRPr="00816BF5">
        <w:rPr>
          <w:rFonts w:asciiTheme="minorHAnsi" w:hAnsiTheme="minorHAnsi" w:cstheme="minorHAnsi"/>
          <w:color w:val="000000"/>
          <w:sz w:val="20"/>
          <w:szCs w:val="20"/>
        </w:rPr>
        <w:t>All Commercial Banks (including Small Finance Banks, Local Area Banks and Regional Rural Banks) excluding Payments Banks</w:t>
      </w:r>
      <w:r w:rsidRPr="00816BF5">
        <w:rPr>
          <w:rFonts w:asciiTheme="minorHAnsi" w:hAnsiTheme="minorHAnsi" w:cstheme="minorHAnsi"/>
          <w:color w:val="000000"/>
          <w:sz w:val="20"/>
          <w:szCs w:val="20"/>
        </w:rPr>
        <w:br/>
        <w:t>All Primary (Urban) Co-operative Banks/ State Co-operative Banks/</w:t>
      </w:r>
      <w:r w:rsidRPr="00816BF5">
        <w:rPr>
          <w:rFonts w:asciiTheme="minorHAnsi" w:hAnsiTheme="minorHAnsi" w:cstheme="minorHAnsi"/>
          <w:color w:val="000000"/>
          <w:sz w:val="20"/>
          <w:szCs w:val="20"/>
        </w:rPr>
        <w:br/>
        <w:t>District Central Co-operative Banks</w:t>
      </w:r>
      <w:r w:rsidRPr="00816BF5">
        <w:rPr>
          <w:rFonts w:asciiTheme="minorHAnsi" w:hAnsiTheme="minorHAnsi" w:cstheme="minorHAnsi"/>
          <w:color w:val="000000"/>
          <w:sz w:val="20"/>
          <w:szCs w:val="20"/>
        </w:rPr>
        <w:br/>
        <w:t>All Non-Banking Financial Companies (including Microfinance Institutions and Housing Finance Companies)</w:t>
      </w:r>
    </w:p>
    <w:p w:rsidR="00816BF5" w:rsidRPr="00816BF5" w:rsidRDefault="00816BF5" w:rsidP="00816BF5">
      <w:pPr>
        <w:pStyle w:val="NormalWeb"/>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Madam / Dear Sir,</w:t>
      </w:r>
    </w:p>
    <w:p w:rsidR="00816BF5" w:rsidRPr="00816BF5" w:rsidRDefault="00816BF5" w:rsidP="00816BF5">
      <w:pPr>
        <w:pStyle w:val="head"/>
        <w:jc w:val="both"/>
        <w:rPr>
          <w:rFonts w:asciiTheme="minorHAnsi" w:hAnsiTheme="minorHAnsi" w:cstheme="minorHAnsi"/>
          <w:b/>
          <w:bCs/>
          <w:color w:val="000000"/>
          <w:sz w:val="20"/>
          <w:szCs w:val="20"/>
        </w:rPr>
      </w:pPr>
      <w:r w:rsidRPr="00816BF5">
        <w:rPr>
          <w:rFonts w:asciiTheme="minorHAnsi" w:hAnsiTheme="minorHAnsi" w:cstheme="minorHAnsi"/>
          <w:b/>
          <w:bCs/>
          <w:color w:val="000000"/>
          <w:sz w:val="20"/>
          <w:szCs w:val="20"/>
          <w:u w:val="single"/>
        </w:rPr>
        <w:t>Fair Practices Code for Lenders – Charging of Interest</w:t>
      </w:r>
    </w:p>
    <w:p w:rsidR="00816BF5" w:rsidRPr="00816BF5" w:rsidRDefault="00816BF5" w:rsidP="00816BF5">
      <w:pPr>
        <w:pStyle w:val="NormalWeb"/>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The guidelines on Fair Practices Code issued to various Regulated Entities (REs) since 2003, inter-alia, advocate fairness and transparency in charging of interest by the lenders, while providing adequate freedom to REs as regards their loan pricing policy.</w:t>
      </w:r>
    </w:p>
    <w:p w:rsidR="00816BF5" w:rsidRPr="00816BF5" w:rsidRDefault="00816BF5" w:rsidP="00816BF5">
      <w:pPr>
        <w:pStyle w:val="NormalWeb"/>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sidRPr="00816BF5">
        <w:rPr>
          <w:rFonts w:asciiTheme="minorHAnsi" w:hAnsiTheme="minorHAnsi" w:cstheme="minorHAnsi"/>
          <w:color w:val="000000"/>
          <w:sz w:val="20"/>
          <w:szCs w:val="20"/>
        </w:rPr>
        <w:t>are briefly explained</w:t>
      </w:r>
      <w:proofErr w:type="gramEnd"/>
      <w:r w:rsidRPr="00816BF5">
        <w:rPr>
          <w:rFonts w:asciiTheme="minorHAnsi" w:hAnsiTheme="minorHAnsi" w:cstheme="minorHAnsi"/>
          <w:color w:val="000000"/>
          <w:sz w:val="20"/>
          <w:szCs w:val="20"/>
        </w:rPr>
        <w:t xml:space="preserve"> below:</w:t>
      </w:r>
    </w:p>
    <w:p w:rsidR="00816BF5" w:rsidRPr="00816BF5" w:rsidRDefault="00816BF5" w:rsidP="00816BF5">
      <w:pPr>
        <w:pStyle w:val="NormalWeb"/>
        <w:numPr>
          <w:ilvl w:val="0"/>
          <w:numId w:val="1"/>
        </w:numPr>
        <w:ind w:left="0"/>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 xml:space="preserve">Charging of interest from the date of sanction of loan or date of execution of loan agreement and not from the date of actual disbursement of the funds to the customer. Similarly, in the case of loans </w:t>
      </w:r>
      <w:proofErr w:type="gramStart"/>
      <w:r w:rsidRPr="00816BF5">
        <w:rPr>
          <w:rFonts w:asciiTheme="minorHAnsi" w:hAnsiTheme="minorHAnsi" w:cstheme="minorHAnsi"/>
          <w:color w:val="000000"/>
          <w:sz w:val="20"/>
          <w:szCs w:val="20"/>
        </w:rPr>
        <w:t>being disbursed</w:t>
      </w:r>
      <w:proofErr w:type="gramEnd"/>
      <w:r w:rsidRPr="00816BF5">
        <w:rPr>
          <w:rFonts w:asciiTheme="minorHAnsi" w:hAnsiTheme="minorHAnsi" w:cstheme="minorHAnsi"/>
          <w:color w:val="000000"/>
          <w:sz w:val="20"/>
          <w:szCs w:val="20"/>
        </w:rPr>
        <w:t xml:space="preserve"> by cheque, instances were observed where interest was charged from the date of the cheque whereas the cheque was handed over to the customer several days later.</w:t>
      </w:r>
    </w:p>
    <w:p w:rsidR="00816BF5" w:rsidRPr="00816BF5" w:rsidRDefault="00816BF5" w:rsidP="00816BF5">
      <w:pPr>
        <w:pStyle w:val="NormalWeb"/>
        <w:numPr>
          <w:ilvl w:val="0"/>
          <w:numId w:val="1"/>
        </w:numPr>
        <w:ind w:left="0"/>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In the case of disbursal or repayment of loans during the course of the month, some REs were charging interest for the entire month, rather than charging interest only for the period for which the loan was outstanding.</w:t>
      </w:r>
    </w:p>
    <w:p w:rsidR="00816BF5" w:rsidRPr="00816BF5" w:rsidRDefault="00816BF5" w:rsidP="00816BF5">
      <w:pPr>
        <w:pStyle w:val="NormalWeb"/>
        <w:numPr>
          <w:ilvl w:val="0"/>
          <w:numId w:val="1"/>
        </w:numPr>
        <w:ind w:left="0"/>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 xml:space="preserve">In some cases, it </w:t>
      </w:r>
      <w:proofErr w:type="gramStart"/>
      <w:r w:rsidRPr="00816BF5">
        <w:rPr>
          <w:rFonts w:asciiTheme="minorHAnsi" w:hAnsiTheme="minorHAnsi" w:cstheme="minorHAnsi"/>
          <w:color w:val="000000"/>
          <w:sz w:val="20"/>
          <w:szCs w:val="20"/>
        </w:rPr>
        <w:t>was observed</w:t>
      </w:r>
      <w:proofErr w:type="gramEnd"/>
      <w:r w:rsidRPr="00816BF5">
        <w:rPr>
          <w:rFonts w:asciiTheme="minorHAnsi" w:hAnsiTheme="minorHAnsi" w:cstheme="minorHAnsi"/>
          <w:color w:val="000000"/>
          <w:sz w:val="20"/>
          <w:szCs w:val="20"/>
        </w:rPr>
        <w:t xml:space="preserve"> that REs were collecting one or more instalments in advance but reckoning the full loan amount for charging interest.</w:t>
      </w:r>
    </w:p>
    <w:p w:rsidR="00816BF5" w:rsidRPr="00816BF5" w:rsidRDefault="00816BF5" w:rsidP="00816BF5">
      <w:pPr>
        <w:pStyle w:val="NormalWeb"/>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sidRPr="00816BF5">
        <w:rPr>
          <w:rFonts w:asciiTheme="minorHAnsi" w:hAnsiTheme="minorHAnsi" w:cstheme="minorHAnsi"/>
          <w:color w:val="000000"/>
          <w:sz w:val="20"/>
          <w:szCs w:val="20"/>
        </w:rPr>
        <w:t>come to light</w:t>
      </w:r>
      <w:proofErr w:type="gramEnd"/>
      <w:r w:rsidRPr="00816BF5">
        <w:rPr>
          <w:rFonts w:asciiTheme="minorHAnsi" w:hAnsiTheme="minorHAnsi" w:cstheme="minorHAnsi"/>
          <w:color w:val="000000"/>
          <w:sz w:val="20"/>
          <w:szCs w:val="20"/>
        </w:rPr>
        <w:t xml:space="preserve">, RBI through its supervisory teams has advised REs to refund such excess interest and other charges to customers. REs are also being encouraged to use online account transfers in lieu of cheques </w:t>
      </w:r>
      <w:proofErr w:type="gramStart"/>
      <w:r w:rsidRPr="00816BF5">
        <w:rPr>
          <w:rFonts w:asciiTheme="minorHAnsi" w:hAnsiTheme="minorHAnsi" w:cstheme="minorHAnsi"/>
          <w:color w:val="000000"/>
          <w:sz w:val="20"/>
          <w:szCs w:val="20"/>
        </w:rPr>
        <w:t>being issued</w:t>
      </w:r>
      <w:proofErr w:type="gramEnd"/>
      <w:r w:rsidRPr="00816BF5">
        <w:rPr>
          <w:rFonts w:asciiTheme="minorHAnsi" w:hAnsiTheme="minorHAnsi" w:cstheme="minorHAnsi"/>
          <w:color w:val="000000"/>
          <w:sz w:val="20"/>
          <w:szCs w:val="20"/>
        </w:rPr>
        <w:t xml:space="preserve"> in a few cases for loan disbursal.</w:t>
      </w:r>
    </w:p>
    <w:p w:rsidR="00816BF5" w:rsidRPr="00816BF5" w:rsidRDefault="00816BF5" w:rsidP="00816BF5">
      <w:pPr>
        <w:pStyle w:val="NormalWeb"/>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816BF5" w:rsidRPr="00816BF5" w:rsidRDefault="00816BF5" w:rsidP="00816BF5">
      <w:pPr>
        <w:pStyle w:val="NormalWeb"/>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5. This circular takes immediate effect.</w:t>
      </w:r>
    </w:p>
    <w:p w:rsidR="00816BF5" w:rsidRPr="00816BF5" w:rsidRDefault="00816BF5" w:rsidP="00816BF5">
      <w:pPr>
        <w:pStyle w:val="NormalWeb"/>
        <w:jc w:val="both"/>
        <w:rPr>
          <w:rFonts w:asciiTheme="minorHAnsi" w:hAnsiTheme="minorHAnsi" w:cstheme="minorHAnsi"/>
          <w:color w:val="000000"/>
          <w:sz w:val="20"/>
          <w:szCs w:val="20"/>
        </w:rPr>
      </w:pPr>
      <w:r w:rsidRPr="00816BF5">
        <w:rPr>
          <w:rFonts w:asciiTheme="minorHAnsi" w:hAnsiTheme="minorHAnsi" w:cstheme="minorHAnsi"/>
          <w:color w:val="000000"/>
          <w:sz w:val="20"/>
          <w:szCs w:val="20"/>
        </w:rPr>
        <w:t>Yours faithfully,</w:t>
      </w:r>
    </w:p>
    <w:p w:rsidR="00816BF5" w:rsidRDefault="00816BF5" w:rsidP="00816BF5">
      <w:pPr>
        <w:pStyle w:val="NormalWeb"/>
        <w:rPr>
          <w:rFonts w:asciiTheme="minorHAnsi" w:hAnsiTheme="minorHAnsi" w:cstheme="minorHAnsi"/>
          <w:color w:val="000000"/>
          <w:sz w:val="20"/>
          <w:szCs w:val="20"/>
        </w:rPr>
      </w:pPr>
      <w:r w:rsidRPr="00816BF5">
        <w:rPr>
          <w:rFonts w:asciiTheme="minorHAnsi" w:hAnsiTheme="minorHAnsi" w:cstheme="minorHAnsi"/>
          <w:color w:val="000000"/>
          <w:sz w:val="20"/>
          <w:szCs w:val="20"/>
        </w:rPr>
        <w:t>(Tarun Singh)</w:t>
      </w:r>
      <w:r w:rsidRPr="00816BF5">
        <w:rPr>
          <w:rFonts w:asciiTheme="minorHAnsi" w:hAnsiTheme="minorHAnsi" w:cstheme="minorHAnsi"/>
          <w:color w:val="000000"/>
          <w:sz w:val="20"/>
          <w:szCs w:val="20"/>
        </w:rPr>
        <w:br/>
        <w:t>Chief General Manager</w:t>
      </w:r>
    </w:p>
    <w:p w:rsidR="00A5673E" w:rsidRPr="00816BF5" w:rsidRDefault="00816BF5" w:rsidP="00816BF5">
      <w:pPr>
        <w:pStyle w:val="NormalWeb"/>
        <w:rPr>
          <w:rFonts w:asciiTheme="minorHAnsi" w:hAnsiTheme="minorHAnsi" w:cstheme="minorHAnsi"/>
          <w:sz w:val="20"/>
          <w:szCs w:val="20"/>
        </w:rPr>
      </w:pPr>
      <w:r w:rsidRPr="00816BF5">
        <w:rPr>
          <w:rFonts w:asciiTheme="minorHAnsi" w:hAnsiTheme="minorHAnsi" w:cstheme="minorHAnsi"/>
          <w:color w:val="000000"/>
          <w:sz w:val="20"/>
          <w:szCs w:val="20"/>
        </w:rPr>
        <w:t xml:space="preserve">For more details, kindly </w:t>
      </w:r>
      <w:proofErr w:type="gramStart"/>
      <w:r w:rsidRPr="00816BF5">
        <w:rPr>
          <w:rFonts w:asciiTheme="minorHAnsi" w:hAnsiTheme="minorHAnsi" w:cstheme="minorHAnsi"/>
          <w:color w:val="000000"/>
          <w:sz w:val="20"/>
          <w:szCs w:val="20"/>
        </w:rPr>
        <w:t>refer:</w:t>
      </w:r>
      <w:proofErr w:type="gramEnd"/>
      <w:r>
        <w:rPr>
          <w:rFonts w:asciiTheme="minorHAnsi" w:hAnsiTheme="minorHAnsi" w:cstheme="minorHAnsi"/>
          <w:color w:val="000000"/>
          <w:sz w:val="20"/>
          <w:szCs w:val="20"/>
        </w:rPr>
        <w:t xml:space="preserve"> </w:t>
      </w:r>
      <w:hyperlink r:id="rId5" w:history="1">
        <w:r w:rsidRPr="00816BF5">
          <w:rPr>
            <w:rStyle w:val="Hyperlink"/>
            <w:rFonts w:asciiTheme="minorHAnsi" w:hAnsiTheme="minorHAnsi" w:cstheme="minorHAnsi"/>
            <w:sz w:val="20"/>
            <w:szCs w:val="20"/>
          </w:rPr>
          <w:t>https://w</w:t>
        </w:r>
        <w:bookmarkStart w:id="0" w:name="_GoBack"/>
        <w:bookmarkEnd w:id="0"/>
        <w:r w:rsidRPr="00816BF5">
          <w:rPr>
            <w:rStyle w:val="Hyperlink"/>
            <w:rFonts w:asciiTheme="minorHAnsi" w:hAnsiTheme="minorHAnsi" w:cstheme="minorHAnsi"/>
            <w:sz w:val="20"/>
            <w:szCs w:val="20"/>
          </w:rPr>
          <w:t>ww.rbi.org.in/Scripts/NotificationUser.aspx?Id=12678&amp;Mode=0</w:t>
        </w:r>
      </w:hyperlink>
      <w:r w:rsidRPr="00816BF5">
        <w:rPr>
          <w:rFonts w:asciiTheme="minorHAnsi" w:hAnsiTheme="minorHAnsi" w:cstheme="minorHAnsi"/>
          <w:sz w:val="20"/>
          <w:szCs w:val="20"/>
        </w:rPr>
        <w:t xml:space="preserve"> </w:t>
      </w:r>
    </w:p>
    <w:sectPr w:rsidR="00A5673E" w:rsidRPr="00816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54821"/>
    <w:multiLevelType w:val="multilevel"/>
    <w:tmpl w:val="ACCCB3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97"/>
    <w:rsid w:val="00816BF5"/>
    <w:rsid w:val="008176BF"/>
    <w:rsid w:val="00825000"/>
    <w:rsid w:val="00903597"/>
    <w:rsid w:val="00A567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C1CE"/>
  <w15:chartTrackingRefBased/>
  <w15:docId w15:val="{A89C0D53-F6E5-4B5B-AD8E-5DF35224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73E"/>
    <w:rPr>
      <w:b/>
      <w:bCs/>
    </w:rPr>
  </w:style>
  <w:style w:type="paragraph" w:styleId="NormalWeb">
    <w:name w:val="Normal (Web)"/>
    <w:basedOn w:val="Normal"/>
    <w:uiPriority w:val="99"/>
    <w:unhideWhenUsed/>
    <w:rsid w:val="00816BF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816BF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16BF5"/>
    <w:rPr>
      <w:color w:val="0563C1" w:themeColor="hyperlink"/>
      <w:u w:val="single"/>
    </w:rPr>
  </w:style>
  <w:style w:type="paragraph" w:styleId="NoSpacing">
    <w:name w:val="No Spacing"/>
    <w:uiPriority w:val="1"/>
    <w:qFormat/>
    <w:rsid w:val="00816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3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bi.org.in/Scripts/NotificationUser.aspx?Id=12678&amp;Mode=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cp:revision>
  <dcterms:created xsi:type="dcterms:W3CDTF">2024-08-26T07:57:00Z</dcterms:created>
  <dcterms:modified xsi:type="dcterms:W3CDTF">2024-08-26T08:00:00Z</dcterms:modified>
</cp:coreProperties>
</file>